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center"/>
        <w:textAlignment w:val="auto"/>
        <w:outlineLvl w:val="9"/>
        <w:rPr>
          <w:rFonts w:hint="eastAsia" w:ascii="黑体" w:hAnsi="黑体" w:eastAsia="黑体" w:cs="黑体"/>
          <w:b w:val="0"/>
          <w:bCs/>
          <w:color w:val="auto"/>
          <w:kern w:val="0"/>
          <w:sz w:val="36"/>
          <w:szCs w:val="36"/>
          <w:lang w:val="en-US" w:eastAsia="zh-CN" w:bidi="ar"/>
        </w:rPr>
      </w:pPr>
      <w:r>
        <w:rPr>
          <w:rFonts w:hint="eastAsia" w:ascii="黑体" w:hAnsi="黑体" w:eastAsia="黑体" w:cs="黑体"/>
          <w:b w:val="0"/>
          <w:bCs/>
          <w:color w:val="auto"/>
          <w:kern w:val="0"/>
          <w:sz w:val="36"/>
          <w:szCs w:val="36"/>
          <w:lang w:val="en-US" w:eastAsia="zh-CN" w:bidi="ar"/>
        </w:rPr>
        <w:t>2017年上半年全国大学英语四、六级考试</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center"/>
        <w:textAlignment w:val="auto"/>
        <w:outlineLvl w:val="9"/>
        <w:rPr>
          <w:rFonts w:hint="eastAsia" w:ascii="黑体" w:hAnsi="黑体" w:eastAsia="黑体" w:cs="黑体"/>
          <w:b w:val="0"/>
          <w:bCs/>
          <w:color w:val="auto"/>
          <w:kern w:val="0"/>
          <w:sz w:val="36"/>
          <w:szCs w:val="36"/>
          <w:lang w:val="en-US" w:eastAsia="zh-CN" w:bidi="ar"/>
        </w:rPr>
      </w:pPr>
      <w:r>
        <w:rPr>
          <w:rFonts w:hint="eastAsia" w:ascii="黑体" w:hAnsi="黑体" w:eastAsia="黑体" w:cs="黑体"/>
          <w:b w:val="0"/>
          <w:bCs/>
          <w:color w:val="auto"/>
          <w:kern w:val="0"/>
          <w:sz w:val="36"/>
          <w:szCs w:val="36"/>
          <w:lang w:val="en-US" w:eastAsia="zh-CN" w:bidi="ar"/>
        </w:rPr>
        <w:t>口语考试（CET-SET）考生须知</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center"/>
        <w:textAlignment w:val="auto"/>
        <w:outlineLvl w:val="9"/>
        <w:rPr>
          <w:rFonts w:hint="eastAsia" w:ascii="黑体" w:hAnsi="黑体" w:eastAsia="黑体" w:cs="黑体"/>
          <w:b w:val="0"/>
          <w:bCs/>
          <w:color w:val="auto"/>
          <w:kern w:val="0"/>
          <w:sz w:val="36"/>
          <w:szCs w:val="36"/>
          <w:lang w:val="en-US" w:eastAsia="zh-CN" w:bidi="ar"/>
        </w:rPr>
      </w:pPr>
    </w:p>
    <w:p>
      <w:pPr>
        <w:keepNext w:val="0"/>
        <w:keepLines w:val="0"/>
        <w:pageBreakBefore w:val="0"/>
        <w:widowControl/>
        <w:numPr>
          <w:ilvl w:val="0"/>
          <w:numId w:val="1"/>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bCs w:val="0"/>
          <w:color w:val="auto"/>
          <w:kern w:val="0"/>
          <w:sz w:val="30"/>
          <w:szCs w:val="30"/>
          <w:lang w:val="en-US" w:eastAsia="zh-CN" w:bidi="ar"/>
        </w:rPr>
      </w:pPr>
      <w:r>
        <w:rPr>
          <w:rFonts w:hint="eastAsia" w:ascii="仿宋_GB2312" w:hAnsi="仿宋_GB2312" w:eastAsia="仿宋_GB2312" w:cs="仿宋_GB2312"/>
          <w:b/>
          <w:bCs w:val="0"/>
          <w:color w:val="auto"/>
          <w:kern w:val="0"/>
          <w:sz w:val="30"/>
          <w:szCs w:val="30"/>
          <w:lang w:val="en-US" w:eastAsia="zh-CN" w:bidi="ar"/>
        </w:rPr>
        <w:t>报名相关事项</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1.考试时间</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5月20日：</w:t>
      </w:r>
      <w:r>
        <w:rPr>
          <w:rFonts w:hint="eastAsia" w:ascii="仿宋_GB2312" w:hAnsi="仿宋_GB2312" w:eastAsia="仿宋_GB2312" w:cs="仿宋_GB2312"/>
          <w:color w:val="auto"/>
          <w:kern w:val="0"/>
          <w:sz w:val="30"/>
          <w:szCs w:val="30"/>
          <w:shd w:val="clear" w:fill="FFFFFF"/>
          <w:lang w:val="en-US" w:eastAsia="zh-CN" w:bidi="ar"/>
        </w:rPr>
        <w:t>大学英语四级口试（CET-SET4）</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5月21日：</w:t>
      </w:r>
      <w:r>
        <w:rPr>
          <w:rFonts w:hint="eastAsia" w:ascii="仿宋_GB2312" w:hAnsi="仿宋_GB2312" w:eastAsia="仿宋_GB2312" w:cs="仿宋_GB2312"/>
          <w:color w:val="auto"/>
          <w:kern w:val="0"/>
          <w:sz w:val="30"/>
          <w:szCs w:val="30"/>
          <w:shd w:val="clear" w:fill="FFFFFF"/>
          <w:lang w:val="en-US" w:eastAsia="zh-CN" w:bidi="ar"/>
        </w:rPr>
        <w:t>大学英语六级口试（CET-SET6）</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2.报名资格</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CET-SET4: 仅接受完成2017年6月全国大学英语四级笔试报考的考生；</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CET-SET6: 仅接受完成2017年6月全国大学英语六级笔试报考的考生。</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3.报名网址</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全国大学英语四、六级考试官网（</w:t>
      </w:r>
      <w:r>
        <w:rPr>
          <w:rFonts w:hint="eastAsia" w:ascii="仿宋_GB2312" w:hAnsi="仿宋_GB2312" w:eastAsia="仿宋_GB2312" w:cs="仿宋_GB2312"/>
          <w:color w:val="auto"/>
          <w:kern w:val="0"/>
          <w:sz w:val="30"/>
          <w:szCs w:val="30"/>
          <w:shd w:val="clear" w:fill="FFFFFF"/>
          <w:lang w:val="en-US" w:eastAsia="zh-CN" w:bidi="ar"/>
        </w:rPr>
        <w:fldChar w:fldCharType="begin"/>
      </w:r>
      <w:r>
        <w:rPr>
          <w:rFonts w:hint="eastAsia" w:ascii="仿宋_GB2312" w:hAnsi="仿宋_GB2312" w:eastAsia="仿宋_GB2312" w:cs="仿宋_GB2312"/>
          <w:color w:val="auto"/>
          <w:kern w:val="0"/>
          <w:sz w:val="30"/>
          <w:szCs w:val="30"/>
          <w:shd w:val="clear" w:fill="FFFFFF"/>
          <w:lang w:val="en-US" w:eastAsia="zh-CN" w:bidi="ar"/>
        </w:rPr>
        <w:instrText xml:space="preserve"> HYPERLINK "http://www.cet.edu.cn" </w:instrText>
      </w:r>
      <w:r>
        <w:rPr>
          <w:rFonts w:hint="eastAsia" w:ascii="仿宋_GB2312" w:hAnsi="仿宋_GB2312" w:eastAsia="仿宋_GB2312" w:cs="仿宋_GB2312"/>
          <w:color w:val="auto"/>
          <w:kern w:val="0"/>
          <w:sz w:val="30"/>
          <w:szCs w:val="30"/>
          <w:shd w:val="clear" w:fill="FFFFFF"/>
          <w:lang w:val="en-US" w:eastAsia="zh-CN" w:bidi="ar"/>
        </w:rPr>
        <w:fldChar w:fldCharType="separate"/>
      </w:r>
      <w:r>
        <w:rPr>
          <w:rStyle w:val="3"/>
          <w:rFonts w:hint="eastAsia" w:ascii="仿宋_GB2312" w:hAnsi="仿宋_GB2312" w:eastAsia="仿宋_GB2312" w:cs="仿宋_GB2312"/>
          <w:color w:val="auto"/>
          <w:sz w:val="30"/>
          <w:szCs w:val="30"/>
          <w:u w:val="single"/>
          <w:shd w:val="clear" w:fill="FFFFFF"/>
          <w:lang w:val="en-US"/>
        </w:rPr>
        <w:t>www.cet.edu.cn</w:t>
      </w:r>
      <w:r>
        <w:rPr>
          <w:rFonts w:hint="eastAsia" w:ascii="仿宋_GB2312" w:hAnsi="仿宋_GB2312" w:eastAsia="仿宋_GB2312" w:cs="仿宋_GB2312"/>
          <w:color w:val="auto"/>
          <w:kern w:val="0"/>
          <w:sz w:val="30"/>
          <w:szCs w:val="30"/>
          <w:shd w:val="clear" w:fill="FFFFFF"/>
          <w:lang w:val="en-US" w:eastAsia="zh-CN" w:bidi="ar"/>
        </w:rPr>
        <w:fldChar w:fldCharType="end"/>
      </w:r>
      <w:r>
        <w:rPr>
          <w:rFonts w:hint="eastAsia" w:ascii="仿宋_GB2312" w:hAnsi="仿宋_GB2312" w:eastAsia="仿宋_GB2312" w:cs="仿宋_GB2312"/>
          <w:color w:val="auto"/>
          <w:kern w:val="0"/>
          <w:sz w:val="30"/>
          <w:szCs w:val="30"/>
          <w:shd w:val="clear" w:fill="FFFFFF"/>
          <w:lang w:val="en-US" w:eastAsia="zh-CN" w:bidi="ar"/>
        </w:rPr>
        <w:t>） “CET口试网上报名”栏目。</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4.报名时间</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报名时间为</w:t>
      </w:r>
      <w:bookmarkStart w:id="0" w:name="_GoBack"/>
      <w:bookmarkEnd w:id="0"/>
      <w:r>
        <w:rPr>
          <w:rFonts w:hint="eastAsia" w:ascii="仿宋_GB2312" w:hAnsi="仿宋_GB2312" w:eastAsia="仿宋_GB2312" w:cs="仿宋_GB2312"/>
          <w:color w:val="auto"/>
          <w:kern w:val="0"/>
          <w:sz w:val="30"/>
          <w:szCs w:val="30"/>
          <w:shd w:val="clear" w:fill="FFFFFF"/>
          <w:lang w:val="en-US" w:eastAsia="zh-CN" w:bidi="ar"/>
        </w:rPr>
        <w:t>4月25日9：00—5月2日17:00。</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考生须在此期间通过网上报名系统（含APP）自主完成报名，其中包括资格审核、场次选择、网上缴费等操作。</w:t>
      </w:r>
    </w:p>
    <w:p>
      <w:pPr>
        <w:keepNext w:val="0"/>
        <w:keepLines w:val="0"/>
        <w:pageBreakBefore w:val="0"/>
        <w:widowControl/>
        <w:numPr>
          <w:ilvl w:val="0"/>
          <w:numId w:val="2"/>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报名费</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报名费为50元/人。</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6.报名APP</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 xml:space="preserve">           安卓下载                      IOS下载</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 xml:space="preserve">          </w:t>
      </w:r>
      <w:r>
        <w:rPr>
          <w:rFonts w:hint="eastAsia" w:ascii="仿宋_GB2312" w:hAnsi="仿宋_GB2312" w:eastAsia="仿宋_GB2312" w:cs="仿宋_GB2312"/>
          <w:color w:val="auto"/>
          <w:kern w:val="0"/>
          <w:sz w:val="30"/>
          <w:szCs w:val="30"/>
          <w:shd w:val="clear" w:fill="FFFFFF"/>
          <w:lang w:val="en-US" w:eastAsia="zh-CN" w:bidi="ar"/>
        </w:rPr>
        <w:fldChar w:fldCharType="begin"/>
      </w:r>
      <w:r>
        <w:rPr>
          <w:rFonts w:hint="eastAsia" w:ascii="仿宋_GB2312" w:hAnsi="仿宋_GB2312" w:eastAsia="仿宋_GB2312" w:cs="仿宋_GB2312"/>
          <w:color w:val="auto"/>
          <w:kern w:val="0"/>
          <w:sz w:val="30"/>
          <w:szCs w:val="30"/>
          <w:shd w:val="clear" w:fill="FFFFFF"/>
          <w:lang w:val="en-US" w:eastAsia="zh-CN" w:bidi="ar"/>
        </w:rPr>
        <w:instrText xml:space="preserve">INCLUDEPICTURE \d "http://175.102.14.218/cetset/ksxz162.files/image001.jpg" \* MERGEFORMATINET </w:instrText>
      </w:r>
      <w:r>
        <w:rPr>
          <w:rFonts w:hint="eastAsia" w:ascii="仿宋_GB2312" w:hAnsi="仿宋_GB2312" w:eastAsia="仿宋_GB2312" w:cs="仿宋_GB2312"/>
          <w:color w:val="auto"/>
          <w:kern w:val="0"/>
          <w:sz w:val="30"/>
          <w:szCs w:val="30"/>
          <w:shd w:val="clear" w:fill="FFFFFF"/>
          <w:lang w:val="en-US" w:eastAsia="zh-CN" w:bidi="ar"/>
        </w:rPr>
        <w:fldChar w:fldCharType="separate"/>
      </w:r>
      <w:r>
        <w:rPr>
          <w:rFonts w:hint="eastAsia" w:ascii="仿宋_GB2312" w:hAnsi="仿宋_GB2312" w:eastAsia="仿宋_GB2312" w:cs="仿宋_GB2312"/>
          <w:color w:val="auto"/>
          <w:kern w:val="0"/>
          <w:sz w:val="30"/>
          <w:szCs w:val="30"/>
          <w:shd w:val="clear" w:fill="FFFFFF"/>
          <w:lang w:val="en-US" w:eastAsia="zh-CN" w:bidi="ar"/>
        </w:rPr>
        <w:drawing>
          <wp:inline distT="0" distB="0" distL="114300" distR="114300">
            <wp:extent cx="952500" cy="9525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r>
        <w:rPr>
          <w:rFonts w:hint="eastAsia" w:ascii="仿宋_GB2312" w:hAnsi="仿宋_GB2312" w:eastAsia="仿宋_GB2312" w:cs="仿宋_GB2312"/>
          <w:color w:val="auto"/>
          <w:kern w:val="0"/>
          <w:sz w:val="30"/>
          <w:szCs w:val="30"/>
          <w:shd w:val="clear" w:fill="FFFFFF"/>
          <w:lang w:val="en-US" w:eastAsia="zh-CN" w:bidi="ar"/>
        </w:rPr>
        <w:fldChar w:fldCharType="end"/>
      </w:r>
      <w:r>
        <w:rPr>
          <w:rFonts w:hint="eastAsia" w:ascii="仿宋_GB2312" w:hAnsi="仿宋_GB2312" w:eastAsia="仿宋_GB2312" w:cs="仿宋_GB2312"/>
          <w:color w:val="auto"/>
          <w:kern w:val="0"/>
          <w:sz w:val="30"/>
          <w:szCs w:val="30"/>
          <w:shd w:val="clear" w:fill="FFFFFF"/>
          <w:lang w:val="en-US" w:eastAsia="zh-CN" w:bidi="ar"/>
        </w:rPr>
        <w:t xml:space="preserve">                 </w:t>
      </w:r>
      <w:r>
        <w:rPr>
          <w:rFonts w:hint="eastAsia" w:ascii="仿宋_GB2312" w:hAnsi="仿宋_GB2312" w:eastAsia="仿宋_GB2312" w:cs="仿宋_GB2312"/>
          <w:color w:val="auto"/>
          <w:kern w:val="0"/>
          <w:sz w:val="30"/>
          <w:szCs w:val="30"/>
          <w:shd w:val="clear" w:fill="FFFFFF"/>
          <w:lang w:val="en-US" w:eastAsia="zh-CN" w:bidi="ar"/>
        </w:rPr>
        <w:fldChar w:fldCharType="begin"/>
      </w:r>
      <w:r>
        <w:rPr>
          <w:rFonts w:hint="eastAsia" w:ascii="仿宋_GB2312" w:hAnsi="仿宋_GB2312" w:eastAsia="仿宋_GB2312" w:cs="仿宋_GB2312"/>
          <w:color w:val="auto"/>
          <w:kern w:val="0"/>
          <w:sz w:val="30"/>
          <w:szCs w:val="30"/>
          <w:shd w:val="clear" w:fill="FFFFFF"/>
          <w:lang w:val="en-US" w:eastAsia="zh-CN" w:bidi="ar"/>
        </w:rPr>
        <w:instrText xml:space="preserve">INCLUDEPICTURE \d "http://175.102.14.218/cetset/ksxz162.files/image002.jpg" \* MERGEFORMATINET </w:instrText>
      </w:r>
      <w:r>
        <w:rPr>
          <w:rFonts w:hint="eastAsia" w:ascii="仿宋_GB2312" w:hAnsi="仿宋_GB2312" w:eastAsia="仿宋_GB2312" w:cs="仿宋_GB2312"/>
          <w:color w:val="auto"/>
          <w:kern w:val="0"/>
          <w:sz w:val="30"/>
          <w:szCs w:val="30"/>
          <w:shd w:val="clear" w:fill="FFFFFF"/>
          <w:lang w:val="en-US" w:eastAsia="zh-CN" w:bidi="ar"/>
        </w:rPr>
        <w:fldChar w:fldCharType="separate"/>
      </w:r>
      <w:r>
        <w:rPr>
          <w:rFonts w:hint="eastAsia" w:ascii="仿宋_GB2312" w:hAnsi="仿宋_GB2312" w:eastAsia="仿宋_GB2312" w:cs="仿宋_GB2312"/>
          <w:color w:val="auto"/>
          <w:kern w:val="0"/>
          <w:sz w:val="30"/>
          <w:szCs w:val="30"/>
          <w:shd w:val="clear" w:fill="FFFFFF"/>
          <w:lang w:val="en-US" w:eastAsia="zh-CN" w:bidi="ar"/>
        </w:rPr>
        <w:drawing>
          <wp:inline distT="0" distB="0" distL="114300" distR="114300">
            <wp:extent cx="952500" cy="9525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952500" cy="952500"/>
                    </a:xfrm>
                    <a:prstGeom prst="rect">
                      <a:avLst/>
                    </a:prstGeom>
                    <a:noFill/>
                    <a:ln w="9525">
                      <a:noFill/>
                    </a:ln>
                  </pic:spPr>
                </pic:pic>
              </a:graphicData>
            </a:graphic>
          </wp:inline>
        </w:drawing>
      </w:r>
      <w:r>
        <w:rPr>
          <w:rFonts w:hint="eastAsia" w:ascii="仿宋_GB2312" w:hAnsi="仿宋_GB2312" w:eastAsia="仿宋_GB2312" w:cs="仿宋_GB2312"/>
          <w:color w:val="auto"/>
          <w:kern w:val="0"/>
          <w:sz w:val="30"/>
          <w:szCs w:val="30"/>
          <w:shd w:val="clear" w:fill="FFFFFF"/>
          <w:lang w:val="en-US" w:eastAsia="zh-CN" w:bidi="ar"/>
        </w:rPr>
        <w:fldChar w:fldCharType="end"/>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考生登录报名系统或APP，自行完成输入身份证号和姓名，进行资格审核、考点选择、科目选择及缴费等操作。</w:t>
      </w:r>
    </w:p>
    <w:p>
      <w:pPr>
        <w:keepNext w:val="0"/>
        <w:keepLines w:val="0"/>
        <w:pageBreakBefore w:val="0"/>
        <w:widowControl/>
        <w:numPr>
          <w:ilvl w:val="0"/>
          <w:numId w:val="3"/>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考点名单</w:t>
      </w:r>
    </w:p>
    <w:tbl>
      <w:tblPr>
        <w:tblStyle w:val="5"/>
        <w:tblW w:w="7980" w:type="dxa"/>
        <w:jc w:val="center"/>
        <w:tblInd w:w="-17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295"/>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lang w:val="en-US" w:eastAsia="zh-CN"/>
              </w:rPr>
              <w:t>序号</w:t>
            </w:r>
          </w:p>
        </w:tc>
        <w:tc>
          <w:tcPr>
            <w:tcW w:w="2295" w:type="dxa"/>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考点代码</w:t>
            </w:r>
          </w:p>
        </w:tc>
        <w:tc>
          <w:tcPr>
            <w:tcW w:w="3855" w:type="dxa"/>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考点名称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1</w:t>
            </w:r>
          </w:p>
        </w:tc>
        <w:tc>
          <w:tcPr>
            <w:tcW w:w="229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230010</w:t>
            </w:r>
          </w:p>
        </w:tc>
        <w:tc>
          <w:tcPr>
            <w:tcW w:w="385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eastAsia="zh-CN"/>
              </w:rPr>
              <w:t>黑龙江大学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30"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2</w:t>
            </w:r>
          </w:p>
        </w:tc>
        <w:tc>
          <w:tcPr>
            <w:tcW w:w="229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230040</w:t>
            </w:r>
          </w:p>
        </w:tc>
        <w:tc>
          <w:tcPr>
            <w:tcW w:w="385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eastAsia="zh-CN"/>
              </w:rPr>
              <w:t>牡丹江师范学院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3</w:t>
            </w:r>
          </w:p>
        </w:tc>
        <w:tc>
          <w:tcPr>
            <w:tcW w:w="229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230250</w:t>
            </w:r>
          </w:p>
        </w:tc>
        <w:tc>
          <w:tcPr>
            <w:tcW w:w="385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eastAsia="zh-CN"/>
              </w:rPr>
              <w:t>齐齐哈尔医学院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4</w:t>
            </w:r>
          </w:p>
        </w:tc>
        <w:tc>
          <w:tcPr>
            <w:tcW w:w="229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val="en-US" w:eastAsia="zh-CN"/>
              </w:rPr>
              <w:t>230290</w:t>
            </w:r>
          </w:p>
        </w:tc>
        <w:tc>
          <w:tcPr>
            <w:tcW w:w="3855" w:type="dxa"/>
            <w:textDirection w:val="lrTb"/>
            <w:vAlign w:val="center"/>
          </w:tcPr>
          <w:p>
            <w:pPr>
              <w:keepNext w:val="0"/>
              <w:keepLines w:val="0"/>
              <w:pageBreakBefore w:val="0"/>
              <w:kinsoku/>
              <w:wordWrap/>
              <w:overflowPunct/>
              <w:topLinePunct w:val="0"/>
              <w:autoSpaceDE/>
              <w:autoSpaceDN/>
              <w:bidi w:val="0"/>
              <w:adjustRightInd w:val="0"/>
              <w:snapToGrid w:val="0"/>
              <w:spacing w:line="288" w:lineRule="auto"/>
              <w:ind w:left="0" w:leftChars="0" w:right="0" w:right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kern w:val="0"/>
                <w:sz w:val="30"/>
                <w:szCs w:val="30"/>
                <w:lang w:eastAsia="zh-CN"/>
              </w:rPr>
              <w:t>黑龙江八一农垦大学</w:t>
            </w:r>
          </w:p>
        </w:tc>
      </w:tr>
    </w:tbl>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 xml:space="preserve">    8.打印准考证</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报名成功的考生须于5月11日9时通过报名网站（www.cet.edu.cn）或者APP打印准考证。</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9.成绩单</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本次考试成绩将作为2017年6月全国大学英语四、六级考试成绩报告单的口试科目部分成绩。</w:t>
      </w:r>
    </w:p>
    <w:p>
      <w:pPr>
        <w:keepNext w:val="0"/>
        <w:keepLines w:val="0"/>
        <w:pageBreakBefore w:val="0"/>
        <w:widowControl/>
        <w:numPr>
          <w:ilvl w:val="0"/>
          <w:numId w:val="1"/>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bCs w:val="0"/>
          <w:color w:val="auto"/>
          <w:kern w:val="0"/>
          <w:sz w:val="30"/>
          <w:szCs w:val="30"/>
          <w:lang w:val="en-US" w:eastAsia="zh-CN" w:bidi="ar"/>
        </w:rPr>
      </w:pPr>
      <w:r>
        <w:rPr>
          <w:rFonts w:hint="eastAsia" w:ascii="仿宋_GB2312" w:hAnsi="仿宋_GB2312" w:eastAsia="仿宋_GB2312" w:cs="仿宋_GB2312"/>
          <w:b/>
          <w:bCs w:val="0"/>
          <w:color w:val="auto"/>
          <w:kern w:val="0"/>
          <w:sz w:val="30"/>
          <w:szCs w:val="30"/>
          <w:lang w:val="en-US" w:eastAsia="zh-CN" w:bidi="ar"/>
        </w:rPr>
        <w:t>考试相关事项</w:t>
      </w:r>
    </w:p>
    <w:p>
      <w:pPr>
        <w:keepNext w:val="0"/>
        <w:keepLines w:val="0"/>
        <w:pageBreakBefore w:val="0"/>
        <w:widowControl/>
        <w:numPr>
          <w:ilvl w:val="0"/>
          <w:numId w:val="4"/>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注意事项</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考生须按准考证上规定时间到达考场，入场时必须携带准考证和与准考证上一致的身份证件；禁止将手机、其他具有通讯功能的电子产品及考试用书、参考材料等与考试无关的物品带入考场。</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考生进入考场后须在指定考试用机上按系统提示在规定时间内进行登录、测试设备、作答；考试结束后，经监考员允许方可离开考场。</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考试期间考生须遵守考试纪律，服从管理人员安排。</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考生未在规定时间内入场，按弃考处理；入场后未按要求进行登录、测试设备、考试，或未得到监考员允许离开考场的，按违规处理，成绩无效。</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考试期间考试系统出现问题时，考生须及时举手示意，经系统管理员和监考员确认后认为本场不能排除系统故障，将安排其至另外场次进行考试。</w:t>
      </w:r>
    </w:p>
    <w:p>
      <w:pPr>
        <w:keepNext w:val="0"/>
        <w:keepLines w:val="0"/>
        <w:pageBreakBefore w:val="0"/>
        <w:widowControl/>
        <w:numPr>
          <w:ilvl w:val="0"/>
          <w:numId w:val="4"/>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考试流程</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 xml:space="preserve">  CET-SET4</w:t>
      </w:r>
    </w:p>
    <w:tbl>
      <w:tblPr>
        <w:tblStyle w:val="4"/>
        <w:tblW w:w="7796" w:type="dxa"/>
        <w:jc w:val="center"/>
        <w:tblInd w:w="456" w:type="dxa"/>
        <w:shd w:val="clear" w:color="auto" w:fill="auto"/>
        <w:tblLayout w:type="fixed"/>
        <w:tblCellMar>
          <w:top w:w="0" w:type="dxa"/>
          <w:left w:w="0" w:type="dxa"/>
          <w:bottom w:w="0" w:type="dxa"/>
          <w:right w:w="0" w:type="dxa"/>
        </w:tblCellMar>
      </w:tblPr>
      <w:tblGrid>
        <w:gridCol w:w="1490"/>
        <w:gridCol w:w="3023"/>
        <w:gridCol w:w="1113"/>
        <w:gridCol w:w="2170"/>
      </w:tblGrid>
      <w:tr>
        <w:tblPrEx>
          <w:shd w:val="clear" w:color="auto" w:fill="auto"/>
          <w:tblLayout w:type="fixed"/>
          <w:tblCellMar>
            <w:top w:w="0" w:type="dxa"/>
            <w:left w:w="0" w:type="dxa"/>
            <w:bottom w:w="0" w:type="dxa"/>
            <w:right w:w="0" w:type="dxa"/>
          </w:tblCellMar>
        </w:tblPrEx>
        <w:trPr>
          <w:trHeight w:val="398" w:hRule="atLeast"/>
          <w:jc w:val="center"/>
        </w:trPr>
        <w:tc>
          <w:tcPr>
            <w:tcW w:w="1490"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考试流程</w:t>
            </w:r>
          </w:p>
        </w:tc>
        <w:tc>
          <w:tcPr>
            <w:tcW w:w="3023"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内容</w:t>
            </w:r>
          </w:p>
        </w:tc>
        <w:tc>
          <w:tcPr>
            <w:tcW w:w="1113"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时间</w:t>
            </w:r>
          </w:p>
        </w:tc>
        <w:tc>
          <w:tcPr>
            <w:tcW w:w="2170"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形式</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1</w:t>
            </w:r>
          </w:p>
        </w:tc>
        <w:tc>
          <w:tcPr>
            <w:tcW w:w="302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考生对设备进行测试</w:t>
            </w:r>
          </w:p>
        </w:tc>
        <w:tc>
          <w:tcPr>
            <w:tcW w:w="111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5</w:t>
            </w:r>
            <w:r>
              <w:rPr>
                <w:rFonts w:hint="eastAsia" w:ascii="仿宋_GB2312" w:hAnsi="仿宋_GB2312" w:eastAsia="仿宋_GB2312" w:cs="仿宋_GB2312"/>
                <w:color w:val="auto"/>
                <w:sz w:val="30"/>
                <w:szCs w:val="30"/>
              </w:rPr>
              <w:t>分钟</w:t>
            </w:r>
          </w:p>
        </w:tc>
        <w:tc>
          <w:tcPr>
            <w:tcW w:w="217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考生自主完成</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2</w:t>
            </w:r>
          </w:p>
        </w:tc>
        <w:tc>
          <w:tcPr>
            <w:tcW w:w="302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考生自我介绍</w:t>
            </w:r>
          </w:p>
        </w:tc>
        <w:tc>
          <w:tcPr>
            <w:tcW w:w="111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1</w:t>
            </w:r>
            <w:r>
              <w:rPr>
                <w:rFonts w:hint="eastAsia" w:ascii="仿宋_GB2312" w:hAnsi="仿宋_GB2312" w:eastAsia="仿宋_GB2312" w:cs="仿宋_GB2312"/>
                <w:color w:val="auto"/>
                <w:sz w:val="30"/>
                <w:szCs w:val="30"/>
              </w:rPr>
              <w:t>分钟</w:t>
            </w:r>
          </w:p>
        </w:tc>
        <w:tc>
          <w:tcPr>
            <w:tcW w:w="217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3</w:t>
            </w:r>
          </w:p>
        </w:tc>
        <w:tc>
          <w:tcPr>
            <w:tcW w:w="302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短文朗读</w:t>
            </w:r>
          </w:p>
        </w:tc>
        <w:tc>
          <w:tcPr>
            <w:tcW w:w="111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2</w:t>
            </w:r>
            <w:r>
              <w:rPr>
                <w:rFonts w:hint="eastAsia" w:ascii="仿宋_GB2312" w:hAnsi="仿宋_GB2312" w:eastAsia="仿宋_GB2312" w:cs="仿宋_GB2312"/>
                <w:color w:val="auto"/>
                <w:sz w:val="30"/>
                <w:szCs w:val="30"/>
              </w:rPr>
              <w:t>分钟</w:t>
            </w:r>
          </w:p>
        </w:tc>
        <w:tc>
          <w:tcPr>
            <w:tcW w:w="217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4</w:t>
            </w:r>
          </w:p>
        </w:tc>
        <w:tc>
          <w:tcPr>
            <w:tcW w:w="302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简短回答</w:t>
            </w:r>
          </w:p>
        </w:tc>
        <w:tc>
          <w:tcPr>
            <w:tcW w:w="111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1</w:t>
            </w:r>
            <w:r>
              <w:rPr>
                <w:rFonts w:hint="eastAsia" w:ascii="仿宋_GB2312" w:hAnsi="仿宋_GB2312" w:eastAsia="仿宋_GB2312" w:cs="仿宋_GB2312"/>
                <w:color w:val="auto"/>
                <w:sz w:val="30"/>
                <w:szCs w:val="30"/>
              </w:rPr>
              <w:t>分钟</w:t>
            </w:r>
          </w:p>
        </w:tc>
        <w:tc>
          <w:tcPr>
            <w:tcW w:w="217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5</w:t>
            </w:r>
          </w:p>
        </w:tc>
        <w:tc>
          <w:tcPr>
            <w:tcW w:w="302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个人陈述</w:t>
            </w:r>
          </w:p>
        </w:tc>
        <w:tc>
          <w:tcPr>
            <w:tcW w:w="1113"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2</w:t>
            </w:r>
            <w:r>
              <w:rPr>
                <w:rFonts w:hint="eastAsia" w:ascii="仿宋_GB2312" w:hAnsi="仿宋_GB2312" w:eastAsia="仿宋_GB2312" w:cs="仿宋_GB2312"/>
                <w:color w:val="auto"/>
                <w:sz w:val="30"/>
                <w:szCs w:val="30"/>
              </w:rPr>
              <w:t>分钟</w:t>
            </w:r>
          </w:p>
        </w:tc>
        <w:tc>
          <w:tcPr>
            <w:tcW w:w="217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r>
        <w:tblPrEx>
          <w:tblLayout w:type="fixed"/>
          <w:tblCellMar>
            <w:top w:w="0" w:type="dxa"/>
            <w:left w:w="0" w:type="dxa"/>
            <w:bottom w:w="0" w:type="dxa"/>
            <w:right w:w="0" w:type="dxa"/>
          </w:tblCellMar>
        </w:tblPrEx>
        <w:trPr>
          <w:jc w:val="center"/>
        </w:trPr>
        <w:tc>
          <w:tcPr>
            <w:tcW w:w="1490"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6</w:t>
            </w:r>
          </w:p>
        </w:tc>
        <w:tc>
          <w:tcPr>
            <w:tcW w:w="3023"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两人互动</w:t>
            </w:r>
          </w:p>
        </w:tc>
        <w:tc>
          <w:tcPr>
            <w:tcW w:w="1113"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4</w:t>
            </w:r>
            <w:r>
              <w:rPr>
                <w:rFonts w:hint="eastAsia" w:ascii="仿宋_GB2312" w:hAnsi="仿宋_GB2312" w:eastAsia="仿宋_GB2312" w:cs="仿宋_GB2312"/>
                <w:color w:val="auto"/>
                <w:sz w:val="30"/>
                <w:szCs w:val="30"/>
              </w:rPr>
              <w:t>分钟</w:t>
            </w:r>
          </w:p>
        </w:tc>
        <w:tc>
          <w:tcPr>
            <w:tcW w:w="2170"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人人对话</w:t>
            </w:r>
          </w:p>
        </w:tc>
      </w:tr>
    </w:tbl>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 xml:space="preserve">  CET-SET6</w:t>
      </w:r>
    </w:p>
    <w:tbl>
      <w:tblPr>
        <w:tblStyle w:val="4"/>
        <w:tblW w:w="7736" w:type="dxa"/>
        <w:jc w:val="center"/>
        <w:tblInd w:w="456" w:type="dxa"/>
        <w:shd w:val="clear" w:color="auto" w:fill="auto"/>
        <w:tblLayout w:type="fixed"/>
        <w:tblCellMar>
          <w:top w:w="0" w:type="dxa"/>
          <w:left w:w="0" w:type="dxa"/>
          <w:bottom w:w="0" w:type="dxa"/>
          <w:right w:w="0" w:type="dxa"/>
        </w:tblCellMar>
      </w:tblPr>
      <w:tblGrid>
        <w:gridCol w:w="1490"/>
        <w:gridCol w:w="3008"/>
        <w:gridCol w:w="1128"/>
        <w:gridCol w:w="2110"/>
      </w:tblGrid>
      <w:tr>
        <w:tblPrEx>
          <w:shd w:val="clear" w:color="auto" w:fill="auto"/>
          <w:tblLayout w:type="fixed"/>
          <w:tblCellMar>
            <w:top w:w="0" w:type="dxa"/>
            <w:left w:w="0" w:type="dxa"/>
            <w:bottom w:w="0" w:type="dxa"/>
            <w:right w:w="0" w:type="dxa"/>
          </w:tblCellMar>
        </w:tblPrEx>
        <w:trPr>
          <w:trHeight w:val="398" w:hRule="atLeast"/>
          <w:jc w:val="center"/>
        </w:trPr>
        <w:tc>
          <w:tcPr>
            <w:tcW w:w="1490"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考试流程</w:t>
            </w:r>
          </w:p>
        </w:tc>
        <w:tc>
          <w:tcPr>
            <w:tcW w:w="3008"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内容</w:t>
            </w:r>
          </w:p>
        </w:tc>
        <w:tc>
          <w:tcPr>
            <w:tcW w:w="1128"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时间</w:t>
            </w:r>
          </w:p>
        </w:tc>
        <w:tc>
          <w:tcPr>
            <w:tcW w:w="2110" w:type="dxa"/>
            <w:tcBorders>
              <w:top w:val="single" w:color="auto" w:sz="12" w:space="0"/>
              <w:left w:val="nil"/>
              <w:bottom w:val="single" w:color="auto" w:sz="12" w:space="0"/>
              <w:right w:val="nil"/>
            </w:tcBorders>
            <w:shd w:val="clear" w:color="auto" w:fill="E5E5E5"/>
            <w:tcMar>
              <w:left w:w="108" w:type="dxa"/>
              <w:right w:w="108" w:type="dxa"/>
            </w:tcMar>
            <w:vAlign w:val="center"/>
          </w:tcPr>
          <w:p>
            <w:pPr>
              <w:pStyle w:val="6"/>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形式</w:t>
            </w:r>
          </w:p>
        </w:tc>
      </w:tr>
      <w:tr>
        <w:tblPrEx>
          <w:tblLayout w:type="fixed"/>
          <w:tblCellMar>
            <w:top w:w="0" w:type="dxa"/>
            <w:left w:w="0" w:type="dxa"/>
            <w:bottom w:w="0" w:type="dxa"/>
            <w:right w:w="0" w:type="dxa"/>
          </w:tblCellMar>
        </w:tblPrEx>
        <w:trPr>
          <w:trHeight w:val="291" w:hRule="atLeast"/>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1</w:t>
            </w:r>
          </w:p>
        </w:tc>
        <w:tc>
          <w:tcPr>
            <w:tcW w:w="300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考生对设备进行测试</w:t>
            </w:r>
          </w:p>
        </w:tc>
        <w:tc>
          <w:tcPr>
            <w:tcW w:w="112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5</w:t>
            </w:r>
            <w:r>
              <w:rPr>
                <w:rFonts w:hint="eastAsia" w:ascii="仿宋_GB2312" w:hAnsi="仿宋_GB2312" w:eastAsia="仿宋_GB2312" w:cs="仿宋_GB2312"/>
                <w:color w:val="auto"/>
                <w:sz w:val="30"/>
                <w:szCs w:val="30"/>
              </w:rPr>
              <w:t>分钟</w:t>
            </w:r>
          </w:p>
        </w:tc>
        <w:tc>
          <w:tcPr>
            <w:tcW w:w="211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考生自主完成</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2</w:t>
            </w:r>
          </w:p>
        </w:tc>
        <w:tc>
          <w:tcPr>
            <w:tcW w:w="300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自我介绍和问答</w:t>
            </w:r>
          </w:p>
        </w:tc>
        <w:tc>
          <w:tcPr>
            <w:tcW w:w="112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2</w:t>
            </w:r>
            <w:r>
              <w:rPr>
                <w:rFonts w:hint="eastAsia" w:ascii="仿宋_GB2312" w:hAnsi="仿宋_GB2312" w:eastAsia="仿宋_GB2312" w:cs="仿宋_GB2312"/>
                <w:color w:val="auto"/>
                <w:sz w:val="30"/>
                <w:szCs w:val="30"/>
              </w:rPr>
              <w:t>分钟</w:t>
            </w:r>
          </w:p>
        </w:tc>
        <w:tc>
          <w:tcPr>
            <w:tcW w:w="211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r>
        <w:tblPrEx>
          <w:tblLayout w:type="fixed"/>
          <w:tblCellMar>
            <w:top w:w="0" w:type="dxa"/>
            <w:left w:w="0" w:type="dxa"/>
            <w:bottom w:w="0" w:type="dxa"/>
            <w:right w:w="0" w:type="dxa"/>
          </w:tblCellMar>
        </w:tblPrEx>
        <w:trPr>
          <w:jc w:val="center"/>
        </w:trPr>
        <w:tc>
          <w:tcPr>
            <w:tcW w:w="149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3</w:t>
            </w:r>
          </w:p>
        </w:tc>
        <w:tc>
          <w:tcPr>
            <w:tcW w:w="300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陈诉和讨论</w:t>
            </w:r>
          </w:p>
        </w:tc>
        <w:tc>
          <w:tcPr>
            <w:tcW w:w="1128"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8</w:t>
            </w:r>
            <w:r>
              <w:rPr>
                <w:rFonts w:hint="eastAsia" w:ascii="仿宋_GB2312" w:hAnsi="仿宋_GB2312" w:eastAsia="仿宋_GB2312" w:cs="仿宋_GB2312"/>
                <w:color w:val="auto"/>
                <w:sz w:val="30"/>
                <w:szCs w:val="30"/>
              </w:rPr>
              <w:t>分钟</w:t>
            </w:r>
          </w:p>
        </w:tc>
        <w:tc>
          <w:tcPr>
            <w:tcW w:w="2110" w:type="dxa"/>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人人对话</w:t>
            </w:r>
          </w:p>
        </w:tc>
      </w:tr>
      <w:tr>
        <w:tblPrEx>
          <w:tblLayout w:type="fixed"/>
          <w:tblCellMar>
            <w:top w:w="0" w:type="dxa"/>
            <w:left w:w="0" w:type="dxa"/>
            <w:bottom w:w="0" w:type="dxa"/>
            <w:right w:w="0" w:type="dxa"/>
          </w:tblCellMar>
        </w:tblPrEx>
        <w:trPr>
          <w:jc w:val="center"/>
        </w:trPr>
        <w:tc>
          <w:tcPr>
            <w:tcW w:w="1490"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4</w:t>
            </w:r>
          </w:p>
        </w:tc>
        <w:tc>
          <w:tcPr>
            <w:tcW w:w="3008"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问答</w:t>
            </w:r>
          </w:p>
        </w:tc>
        <w:tc>
          <w:tcPr>
            <w:tcW w:w="1128"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rPr>
              <w:t>1</w:t>
            </w:r>
            <w:r>
              <w:rPr>
                <w:rFonts w:hint="eastAsia" w:ascii="仿宋_GB2312" w:hAnsi="仿宋_GB2312" w:eastAsia="仿宋_GB2312" w:cs="仿宋_GB2312"/>
                <w:color w:val="auto"/>
                <w:sz w:val="30"/>
                <w:szCs w:val="30"/>
              </w:rPr>
              <w:t>分钟</w:t>
            </w:r>
          </w:p>
        </w:tc>
        <w:tc>
          <w:tcPr>
            <w:tcW w:w="2110" w:type="dxa"/>
            <w:tcBorders>
              <w:top w:val="nil"/>
              <w:left w:val="nil"/>
              <w:bottom w:val="single" w:color="auto" w:sz="12" w:space="0"/>
              <w:right w:val="nil"/>
            </w:tcBorders>
            <w:shd w:val="clear" w:color="auto" w:fill="auto"/>
            <w:tcMar>
              <w:left w:w="108" w:type="dxa"/>
              <w:right w:w="108" w:type="dxa"/>
            </w:tcMar>
            <w:vAlign w:val="center"/>
          </w:tcPr>
          <w:p>
            <w:pPr>
              <w:pStyle w:val="7"/>
              <w:keepNext w:val="0"/>
              <w:keepLines w:val="0"/>
              <w:pageBreakBefore w:val="0"/>
              <w:widowControl/>
              <w:shd w:val="clear"/>
              <w:kinsoku/>
              <w:wordWrap/>
              <w:overflowPunct/>
              <w:topLinePunct w:val="0"/>
              <w:autoSpaceDE/>
              <w:autoSpaceDN/>
              <w:bidi w:val="0"/>
              <w:adjustRightInd w:val="0"/>
              <w:snapToGrid w:val="0"/>
              <w:spacing w:before="0" w:after="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人机对话</w:t>
            </w:r>
          </w:p>
        </w:tc>
      </w:tr>
    </w:tbl>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jc w:val="left"/>
        <w:textAlignment w:val="auto"/>
        <w:outlineLvl w:val="9"/>
        <w:rPr>
          <w:rFonts w:hint="eastAsia" w:ascii="仿宋_GB2312" w:hAnsi="仿宋_GB2312" w:eastAsia="仿宋_GB2312" w:cs="仿宋_GB2312"/>
          <w:b w:val="0"/>
          <w:bCs/>
          <w:color w:val="auto"/>
          <w:kern w:val="0"/>
          <w:sz w:val="30"/>
          <w:szCs w:val="30"/>
          <w:lang w:val="en-US" w:eastAsia="zh-CN" w:bidi="ar"/>
        </w:rPr>
      </w:pPr>
    </w:p>
    <w:p>
      <w:pPr>
        <w:keepNext w:val="0"/>
        <w:keepLines w:val="0"/>
        <w:pageBreakBefore w:val="0"/>
        <w:widowControl/>
        <w:numPr>
          <w:ilvl w:val="0"/>
          <w:numId w:val="4"/>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b w:val="0"/>
          <w:bCs/>
          <w:color w:val="auto"/>
          <w:kern w:val="0"/>
          <w:sz w:val="30"/>
          <w:szCs w:val="30"/>
          <w:lang w:val="en-US" w:eastAsia="zh-CN" w:bidi="ar"/>
        </w:rPr>
        <w:t>考生严禁</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使用伪造或虚假身份证件</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进入考场后，未按要求对考试设备进行测试</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在考场内大声喧哗、吃食物、吸烟或者实施其他影响考场秩序的行为的</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在考试过程中旁窥、交头接耳、互打暗号或者手势</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未经监考人员许可离开教室</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对考场工作人员有言语或肢体冒犯或攻击行为</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损坏考试设备，包括并不限于计算机、耳机等设备</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协助他人作弊，代替他人考试或者请他人替考</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以任何媒介复制任何部分的考试材料</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窃取或试图窃取考试材料</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其它违规的情况</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val="0"/>
          <w:bCs/>
          <w:color w:val="auto"/>
          <w:kern w:val="0"/>
          <w:sz w:val="30"/>
          <w:szCs w:val="30"/>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违规考生将被取消继续考试的资格，成绩无效。如果在考试成绩发放之后发现考生曾在考试当天参与作弊，该考生的考试成绩将被取消。</w:t>
      </w:r>
    </w:p>
    <w:p>
      <w:pPr>
        <w:keepNext w:val="0"/>
        <w:keepLines w:val="0"/>
        <w:pageBreakBefore w:val="0"/>
        <w:widowControl/>
        <w:numPr>
          <w:ilvl w:val="0"/>
          <w:numId w:val="5"/>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b/>
          <w:color w:val="auto"/>
          <w:kern w:val="0"/>
          <w:sz w:val="30"/>
          <w:szCs w:val="30"/>
          <w:shd w:val="clear" w:fill="FFFFFF"/>
          <w:lang w:val="en-US" w:eastAsia="zh-CN" w:bidi="ar"/>
        </w:rPr>
      </w:pPr>
      <w:r>
        <w:rPr>
          <w:rFonts w:hint="eastAsia" w:ascii="仿宋_GB2312" w:hAnsi="仿宋_GB2312" w:eastAsia="仿宋_GB2312" w:cs="仿宋_GB2312"/>
          <w:b/>
          <w:color w:val="auto"/>
          <w:kern w:val="0"/>
          <w:sz w:val="30"/>
          <w:szCs w:val="30"/>
          <w:shd w:val="clear" w:fill="FFFFFF"/>
          <w:lang w:val="en-US" w:eastAsia="zh-CN" w:bidi="ar"/>
        </w:rPr>
        <w:t>成绩发布及成绩报告单</w:t>
      </w:r>
    </w:p>
    <w:p>
      <w:pPr>
        <w:keepNext w:val="0"/>
        <w:keepLines w:val="0"/>
        <w:pageBreakBefore w:val="0"/>
        <w:widowControl/>
        <w:numPr>
          <w:ilvl w:val="0"/>
          <w:numId w:val="0"/>
        </w:numPr>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成绩发布：本次考试成绩将与2017年6月CET成绩同期发布，具体发布的时间和方式以全国大学英语四、六级考试网站（www.cet.edu.cn）发布的公告为准。</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成绩描述：成绩分为A、B、C、D四个等级；成绩为D等及以上的考生将获得同时含有笔试成绩和口试成绩的成绩报考单。各成绩等级解释如下：</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 xml:space="preserve">    大学英语四级口语考试(CET-SET4)能力等级描述</w:t>
      </w:r>
      <w:r>
        <w:rPr>
          <w:rFonts w:hint="eastAsia" w:ascii="仿宋_GB2312" w:hAnsi="仿宋_GB2312" w:eastAsia="仿宋_GB2312" w:cs="仿宋_GB2312"/>
          <w:b/>
          <w:color w:val="auto"/>
          <w:kern w:val="0"/>
          <w:sz w:val="30"/>
          <w:szCs w:val="30"/>
          <w:lang w:val="en-US" w:eastAsia="zh-CN" w:bidi="ar"/>
        </w:rPr>
        <w:t> </w:t>
      </w:r>
    </w:p>
    <w:tbl>
      <w:tblPr>
        <w:tblStyle w:val="4"/>
        <w:tblW w:w="8100" w:type="dxa"/>
        <w:tblInd w:w="108" w:type="dxa"/>
        <w:shd w:val="clear" w:color="auto" w:fill="auto"/>
        <w:tblLayout w:type="fixed"/>
        <w:tblCellMar>
          <w:top w:w="0" w:type="dxa"/>
          <w:left w:w="0" w:type="dxa"/>
          <w:bottom w:w="0" w:type="dxa"/>
          <w:right w:w="0" w:type="dxa"/>
        </w:tblCellMar>
      </w:tblPr>
      <w:tblGrid>
        <w:gridCol w:w="1620"/>
        <w:gridCol w:w="6480"/>
      </w:tblGrid>
      <w:tr>
        <w:tblPrEx>
          <w:shd w:val="clear" w:color="auto" w:fill="auto"/>
          <w:tblLayout w:type="fixed"/>
          <w:tblCellMar>
            <w:top w:w="0" w:type="dxa"/>
            <w:left w:w="0" w:type="dxa"/>
            <w:bottom w:w="0" w:type="dxa"/>
            <w:right w:w="0" w:type="dxa"/>
          </w:tblCellMar>
        </w:tblPrEx>
        <w:trPr>
          <w:trHeight w:val="326" w:hRule="atLeast"/>
        </w:trPr>
        <w:tc>
          <w:tcPr>
            <w:tcW w:w="16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等级</w:t>
            </w:r>
          </w:p>
        </w:tc>
        <w:tc>
          <w:tcPr>
            <w:tcW w:w="64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等 级 描 述</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A</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能用英语就熟悉的话题进行交谈，基本没有困难。</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能就熟悉的话题连贯地发表意见和看法。</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能清晰、流利地叙述或描述一般性事件和现象。</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B</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能用英语就熟悉的话题进行交谈，虽有些困难，但不影响交际。</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能就熟悉的话题作较连贯的发言。</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能较清晰、流利地叙述或描述一般性事件和现象。</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C</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能用英语就熟悉的话题进行简单的交谈。</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能就熟悉的话题作简短的发言。</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能简单地叙述或描述一般性事件和现象。</w:t>
            </w:r>
          </w:p>
        </w:tc>
      </w:tr>
      <w:tr>
        <w:tblPrEx>
          <w:tblLayout w:type="fixed"/>
          <w:tblCellMar>
            <w:top w:w="0" w:type="dxa"/>
            <w:left w:w="0" w:type="dxa"/>
            <w:bottom w:w="0" w:type="dxa"/>
            <w:right w:w="0" w:type="dxa"/>
          </w:tblCellMar>
        </w:tblPrEx>
        <w:trPr>
          <w:trHeight w:val="483" w:hRule="atLeast"/>
        </w:trPr>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D</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尚不具备英语口头交际能力。</w:t>
            </w:r>
          </w:p>
        </w:tc>
      </w:tr>
    </w:tbl>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 大学英语六级口语考试(CET-SET6)能力等级描述</w:t>
      </w:r>
    </w:p>
    <w:tbl>
      <w:tblPr>
        <w:tblStyle w:val="4"/>
        <w:tblW w:w="8100" w:type="dxa"/>
        <w:tblInd w:w="108" w:type="dxa"/>
        <w:shd w:val="clear" w:color="auto" w:fill="auto"/>
        <w:tblLayout w:type="fixed"/>
        <w:tblCellMar>
          <w:top w:w="0" w:type="dxa"/>
          <w:left w:w="0" w:type="dxa"/>
          <w:bottom w:w="0" w:type="dxa"/>
          <w:right w:w="0" w:type="dxa"/>
        </w:tblCellMar>
      </w:tblPr>
      <w:tblGrid>
        <w:gridCol w:w="1620"/>
        <w:gridCol w:w="6480"/>
      </w:tblGrid>
      <w:tr>
        <w:tblPrEx>
          <w:shd w:val="clear" w:color="auto" w:fill="auto"/>
          <w:tblLayout w:type="fixed"/>
          <w:tblCellMar>
            <w:top w:w="0" w:type="dxa"/>
            <w:left w:w="0" w:type="dxa"/>
            <w:bottom w:w="0" w:type="dxa"/>
            <w:right w:w="0" w:type="dxa"/>
          </w:tblCellMar>
        </w:tblPrEx>
        <w:tc>
          <w:tcPr>
            <w:tcW w:w="16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等级</w:t>
            </w:r>
          </w:p>
        </w:tc>
        <w:tc>
          <w:tcPr>
            <w:tcW w:w="64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等 级 描 述</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A</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能用英语就一般性话题进行深入的交谈。</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能清晰、流利地表达个人意见、情感、观点等。</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能详细地陈述事实、理由和描述事件、现象等。</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B</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能用英语就一般性话题进行较深入的交谈。</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能较清晰、较连贯地表达个人意见、情感、观点等。</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能较详细地陈述事实、理由和描述事件、现象等。</w:t>
            </w:r>
          </w:p>
        </w:tc>
      </w:tr>
      <w:tr>
        <w:tblPrEx>
          <w:tblLayout w:type="fixed"/>
          <w:tblCellMar>
            <w:top w:w="0" w:type="dxa"/>
            <w:left w:w="0" w:type="dxa"/>
            <w:bottom w:w="0" w:type="dxa"/>
            <w:right w:w="0" w:type="dxa"/>
          </w:tblCellMar>
        </w:tblPrEx>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C</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能用英语就一般性话题进行简单的交谈。</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能基本表达个人意见、情感、观点等。</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能简单地陈述事实、理由和描述事件、现象等。</w:t>
            </w:r>
          </w:p>
        </w:tc>
      </w:tr>
      <w:tr>
        <w:tblPrEx>
          <w:tblLayout w:type="fixed"/>
          <w:tblCellMar>
            <w:top w:w="0" w:type="dxa"/>
            <w:left w:w="0" w:type="dxa"/>
            <w:bottom w:w="0" w:type="dxa"/>
            <w:right w:w="0" w:type="dxa"/>
          </w:tblCellMar>
        </w:tblPrEx>
        <w:trPr>
          <w:trHeight w:val="477" w:hRule="atLeast"/>
        </w:trPr>
        <w:tc>
          <w:tcPr>
            <w:tcW w:w="16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D</w:t>
            </w:r>
          </w:p>
        </w:tc>
        <w:tc>
          <w:tcPr>
            <w:tcW w:w="64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尚不具备基本的英语口头交际能力。</w:t>
            </w:r>
          </w:p>
        </w:tc>
      </w:tr>
    </w:tbl>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fill="FFFFFF"/>
          <w:lang w:val="en-US" w:eastAsia="zh-CN" w:bidi="ar"/>
        </w:rPr>
        <w:t>本次CET-SET成绩将作为2017年6月CET考试的口试成绩印制CET成绩报告单上，其成绩报告单并下发至笔试报考的考点。</w:t>
      </w:r>
    </w:p>
    <w:p>
      <w:pPr>
        <w:keepNext w:val="0"/>
        <w:keepLines w:val="0"/>
        <w:pageBreakBefore w:val="0"/>
        <w:widowControl/>
        <w:suppressLineNumbers w:val="0"/>
        <w:shd w:val="clear"/>
        <w:kinsoku/>
        <w:wordWrap/>
        <w:overflowPunct/>
        <w:topLinePunct w:val="0"/>
        <w:autoSpaceDE/>
        <w:autoSpaceDN/>
        <w:bidi w:val="0"/>
        <w:adjustRightInd w:val="0"/>
        <w:snapToGrid w:val="0"/>
        <w:spacing w:beforeAutospacing="0" w:afterAutospacing="0" w:line="288" w:lineRule="auto"/>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shd w:val="clear" w:fill="FFFFFF"/>
          <w:lang w:val="en-US" w:eastAsia="zh-CN" w:bidi="ar"/>
        </w:rPr>
      </w:pPr>
      <w:r>
        <w:rPr>
          <w:rFonts w:hint="eastAsia" w:ascii="仿宋_GB2312" w:hAnsi="仿宋_GB2312" w:eastAsia="仿宋_GB2312" w:cs="仿宋_GB2312"/>
          <w:color w:val="auto"/>
          <w:kern w:val="0"/>
          <w:sz w:val="30"/>
          <w:szCs w:val="30"/>
          <w:shd w:val="clear" w:fill="FFFFFF"/>
          <w:lang w:val="en-US" w:eastAsia="zh-CN" w:bidi="ar"/>
        </w:rPr>
        <w:t>考生在本次CET-SET成绩和2017年6月CET成绩其中一项有效成绩，均发放成绩报告单。</w:t>
      </w:r>
    </w:p>
    <w:p>
      <w:pPr>
        <w:keepNext w:val="0"/>
        <w:keepLines w:val="0"/>
        <w:pageBreakBefore w:val="0"/>
        <w:shd w:val="clear"/>
        <w:kinsoku/>
        <w:wordWrap/>
        <w:overflowPunct/>
        <w:topLinePunct w:val="0"/>
        <w:autoSpaceDE/>
        <w:autoSpaceDN/>
        <w:bidi w:val="0"/>
        <w:adjustRightInd w:val="0"/>
        <w:snapToGrid w:val="0"/>
        <w:spacing w:line="288" w:lineRule="auto"/>
        <w:ind w:left="0" w:leftChars="0" w:right="0" w:rightChars="0" w:firstLine="600" w:firstLineChars="200"/>
        <w:textAlignment w:val="auto"/>
        <w:outlineLvl w:val="9"/>
        <w:rPr>
          <w:rFonts w:hint="eastAsia" w:ascii="仿宋_GB2312" w:hAnsi="仿宋_GB2312" w:eastAsia="仿宋_GB2312" w:cs="仿宋_GB2312"/>
          <w:color w:val="auto"/>
          <w:sz w:val="30"/>
          <w:szCs w:val="30"/>
        </w:rPr>
      </w:pPr>
    </w:p>
    <w:sectPr>
      <w:pgSz w:w="11906" w:h="16838"/>
      <w:pgMar w:top="1460" w:right="1800" w:bottom="15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Cambria Math">
    <w:altName w:val="Palatino Linotype"/>
    <w:panose1 w:val="02040503050406030204"/>
    <w:charset w:val="01"/>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
    <w:panose1 w:val="02010600030101010101"/>
    <w:charset w:val="86"/>
    <w:family w:val="auto"/>
    <w:pitch w:val="default"/>
    <w:sig w:usb0="00000003" w:usb1="080E0000" w:usb2="00000000"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宋体"/>
    <w:panose1 w:val="00000000000000000000"/>
    <w:charset w:val="86"/>
    <w:family w:val="swiss"/>
    <w:pitch w:val="default"/>
    <w:sig w:usb0="00000000" w:usb1="00000000" w:usb2="00000016" w:usb3="00000000" w:csb0="00060007" w:csb1="00000000"/>
  </w:font>
  <w:font w:name="华文楷体">
    <w:altName w:val="楷体_GB2312"/>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402F"/>
    <w:multiLevelType w:val="singleLevel"/>
    <w:tmpl w:val="58EB402F"/>
    <w:lvl w:ilvl="0" w:tentative="0">
      <w:start w:val="1"/>
      <w:numFmt w:val="chineseCounting"/>
      <w:suff w:val="nothing"/>
      <w:lvlText w:val="%1、"/>
      <w:lvlJc w:val="left"/>
    </w:lvl>
  </w:abstractNum>
  <w:abstractNum w:abstractNumId="1">
    <w:nsid w:val="58EB4331"/>
    <w:multiLevelType w:val="singleLevel"/>
    <w:tmpl w:val="58EB4331"/>
    <w:lvl w:ilvl="0" w:tentative="0">
      <w:start w:val="5"/>
      <w:numFmt w:val="decimal"/>
      <w:suff w:val="nothing"/>
      <w:lvlText w:val="%1."/>
      <w:lvlJc w:val="left"/>
    </w:lvl>
  </w:abstractNum>
  <w:abstractNum w:abstractNumId="2">
    <w:nsid w:val="58EB4467"/>
    <w:multiLevelType w:val="singleLevel"/>
    <w:tmpl w:val="58EB4467"/>
    <w:lvl w:ilvl="0" w:tentative="0">
      <w:start w:val="1"/>
      <w:numFmt w:val="decimal"/>
      <w:suff w:val="nothing"/>
      <w:lvlText w:val="%1."/>
      <w:lvlJc w:val="left"/>
    </w:lvl>
  </w:abstractNum>
  <w:abstractNum w:abstractNumId="3">
    <w:nsid w:val="58EB4576"/>
    <w:multiLevelType w:val="singleLevel"/>
    <w:tmpl w:val="58EB4576"/>
    <w:lvl w:ilvl="0" w:tentative="0">
      <w:start w:val="3"/>
      <w:numFmt w:val="chineseCounting"/>
      <w:suff w:val="nothing"/>
      <w:lvlText w:val="%1、"/>
      <w:lvlJc w:val="left"/>
    </w:lvl>
  </w:abstractNum>
  <w:abstractNum w:abstractNumId="4">
    <w:nsid w:val="58F02FAA"/>
    <w:multiLevelType w:val="singleLevel"/>
    <w:tmpl w:val="58F02FAA"/>
    <w:lvl w:ilvl="0" w:tentative="0">
      <w:start w:val="7"/>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83490"/>
    <w:rsid w:val="20237A96"/>
    <w:rsid w:val="22D60B13"/>
    <w:rsid w:val="24370B61"/>
    <w:rsid w:val="2E50093A"/>
    <w:rsid w:val="4A3B1A6D"/>
    <w:rsid w:val="515643AB"/>
    <w:rsid w:val="59A515D3"/>
    <w:rsid w:val="68205665"/>
    <w:rsid w:val="71C0406A"/>
    <w:rsid w:val="74483490"/>
    <w:rsid w:val="754F1B86"/>
    <w:rsid w:val="78255B2A"/>
    <w:rsid w:val="799271E7"/>
    <w:rsid w:val="7B287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msolistparagraph"/>
    <w:basedOn w:val="1"/>
    <w:qFormat/>
    <w:uiPriority w:val="0"/>
    <w:pPr>
      <w:keepNext w:val="0"/>
      <w:keepLines w:val="0"/>
      <w:widowControl/>
      <w:suppressLineNumbers w:val="0"/>
      <w:spacing w:before="0" w:beforeAutospacing="0" w:after="0" w:afterAutospacing="0"/>
      <w:ind w:left="0" w:right="0" w:firstLine="420"/>
      <w:jc w:val="both"/>
    </w:pPr>
    <w:rPr>
      <w:rFonts w:hint="default" w:ascii="Calibri" w:hAnsi="Calibri" w:eastAsia="宋体" w:cs="Calibri"/>
      <w:kern w:val="0"/>
      <w:sz w:val="21"/>
      <w:szCs w:val="21"/>
      <w:lang w:val="en-US" w:eastAsia="zh-CN" w:bidi="ar"/>
    </w:rPr>
  </w:style>
  <w:style w:type="paragraph" w:customStyle="1" w:styleId="7">
    <w:name w:val="彩色列表 - 着色 11"/>
    <w:basedOn w:val="1"/>
    <w:qFormat/>
    <w:uiPriority w:val="0"/>
    <w:pPr>
      <w:keepNext w:val="0"/>
      <w:keepLines w:val="0"/>
      <w:widowControl/>
      <w:suppressLineNumbers w:val="0"/>
      <w:spacing w:before="0" w:beforeAutospacing="0" w:after="0" w:afterAutospacing="0"/>
      <w:ind w:left="0" w:right="0" w:firstLine="420"/>
      <w:jc w:val="both"/>
    </w:pPr>
    <w:rPr>
      <w:rFonts w:hint="default" w:ascii="Calibri" w:hAnsi="Calibri" w:eastAsia="宋体" w:cs="Calibri"/>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2017-04-10T07:44:00Z</dcterms:created>
  <dc:creator>马春晖</dc:creator>
  <cp:lastModifiedBy>马春晖</cp:lastModifiedBy>
  <dcterms:modified xsi:type="dcterms:W3CDTF">2017-04-18T01:03:19Z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